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2" w:rsidRDefault="005B2AC2" w:rsidP="005B2AC2">
      <w:pPr>
        <w:pStyle w:val="1"/>
      </w:pPr>
      <w:r>
        <w:t>Пункт 5.10 СП 402.1325800.2018</w:t>
      </w:r>
    </w:p>
    <w:p w:rsidR="005B2AC2" w:rsidRDefault="005B2AC2">
      <w:bookmarkStart w:id="0" w:name="_GoBack"/>
      <w:bookmarkEnd w:id="0"/>
    </w:p>
    <w:p w:rsidR="00E0733B" w:rsidRDefault="005B2AC2"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качестве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легкосбрасываемых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ограждающих конструкций необходимо использовать остекление оконных проемов с площадью стекла из расчета 0,03 м на 1 м объема помещения или использовать оконные конструкции со стеклопакетами по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 56288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. Армированное стекло, иные стеклопакеты, триплекс, сталинит и поликарбонат к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легкосбрасываемым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конструкциям не относятся.</w:t>
      </w:r>
    </w:p>
    <w:sectPr w:rsidR="00E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4"/>
    <w:rsid w:val="005B2AC2"/>
    <w:rsid w:val="006F1E04"/>
    <w:rsid w:val="00E0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A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A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15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2020-06-26T10:18:00Z</dcterms:created>
  <dcterms:modified xsi:type="dcterms:W3CDTF">2020-06-26T10:18:00Z</dcterms:modified>
</cp:coreProperties>
</file>